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pPr>
      <w:r>
        <w:rPr>
          <w:rFonts w:cs="Times New Roman" w:ascii="Times New Roman" w:hAnsi="Times New Roman"/>
          <w:sz w:val="28"/>
          <w:szCs w:val="28"/>
        </w:rPr>
        <w:t>Информационное сообщение № 15</w:t>
      </w:r>
      <w:r>
        <w:rPr>
          <w:rFonts w:cs="Times New Roman" w:ascii="Times New Roman" w:hAnsi="Times New Roman"/>
          <w:sz w:val="28"/>
          <w:szCs w:val="28"/>
          <w:u w:val="single"/>
        </w:rPr>
        <w:t>-2/</w:t>
      </w:r>
      <w:r>
        <w:rPr>
          <w:rFonts w:cs="Times New Roman" w:ascii="Times New Roman" w:hAnsi="Times New Roman"/>
          <w:sz w:val="28"/>
          <w:szCs w:val="28"/>
          <w:u w:val="single"/>
        </w:rPr>
        <w:t>2</w:t>
      </w:r>
      <w:r>
        <w:rPr>
          <w:rFonts w:cs="Times New Roman" w:ascii="Times New Roman" w:hAnsi="Times New Roman"/>
          <w:sz w:val="28"/>
          <w:szCs w:val="28"/>
          <w:u w:val="single"/>
        </w:rPr>
        <w:t xml:space="preserve"> 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о продаже государственного имущества </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посредством публичного предложения</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f0"/>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8"/>
        <w:gridCol w:w="5386"/>
      </w:tblGrid>
      <w:tr>
        <w:trPr>
          <w:tblHeader w:val="true"/>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6"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Распоряжение от 27.11.2019 г. №1/838-Р.</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посредством публичного предложения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rHeight w:val="1695" w:hRule="atLeast"/>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6" w:type="dxa"/>
            <w:tcBorders/>
            <w:shd w:color="auto" w:fill="auto" w:val="clear"/>
          </w:tcPr>
          <w:p>
            <w:pPr>
              <w:pStyle w:val="Normal"/>
              <w:spacing w:lineRule="auto" w:line="240" w:before="0" w:after="0"/>
              <w:ind w:firstLine="318"/>
              <w:jc w:val="both"/>
              <w:rPr/>
            </w:pPr>
            <w:r>
              <w:rPr>
                <w:rFonts w:eastAsia="Calibri" w:cs="Times New Roman" w:ascii="Times New Roman" w:hAnsi="Times New Roman" w:eastAsiaTheme="minorHAnsi"/>
                <w:b/>
                <w:color w:val="auto"/>
                <w:kern w:val="0"/>
                <w:sz w:val="24"/>
                <w:szCs w:val="24"/>
                <w:lang w:val="ru-RU" w:eastAsia="en-US" w:bidi="ar-SA"/>
              </w:rPr>
              <w:t>15</w:t>
            </w:r>
            <w:r>
              <w:rPr>
                <w:rFonts w:eastAsia="Calibri" w:cs="Times New Roman" w:ascii="Times New Roman" w:hAnsi="Times New Roman"/>
                <w:b/>
                <w:sz w:val="24"/>
                <w:szCs w:val="24"/>
              </w:rPr>
              <w:t xml:space="preserve"> 351</w:t>
            </w:r>
            <w:r>
              <w:rPr>
                <w:rFonts w:cs="Times New Roman" w:ascii="Times New Roman" w:hAnsi="Times New Roman"/>
                <w:b/>
                <w:sz w:val="24"/>
                <w:szCs w:val="24"/>
              </w:rPr>
              <w:t xml:space="preserve"> рубль </w:t>
            </w:r>
            <w:r>
              <w:rPr>
                <w:rFonts w:eastAsia="Calibri" w:cs="Times New Roman" w:ascii="Times New Roman" w:hAnsi="Times New Roman" w:eastAsiaTheme="minorHAnsi"/>
                <w:b/>
                <w:color w:val="auto"/>
                <w:kern w:val="0"/>
                <w:sz w:val="24"/>
                <w:szCs w:val="24"/>
                <w:lang w:val="ru-RU" w:eastAsia="en-US" w:bidi="ar-SA"/>
              </w:rPr>
              <w:t>46</w:t>
            </w:r>
            <w:r>
              <w:rPr>
                <w:rFonts w:cs="Times New Roman" w:ascii="Times New Roman" w:hAnsi="Times New Roman"/>
                <w:b/>
                <w:sz w:val="24"/>
                <w:szCs w:val="24"/>
              </w:rPr>
              <w:t xml:space="preserve"> копеек.</w:t>
            </w:r>
          </w:p>
          <w:p>
            <w:pPr>
              <w:pStyle w:val="Normal"/>
              <w:spacing w:lineRule="auto" w:line="240" w:before="0" w:after="0"/>
              <w:ind w:firstLine="318"/>
              <w:jc w:val="both"/>
              <w:rPr/>
            </w:pPr>
            <w:r>
              <w:rPr>
                <w:rFonts w:cs="Times New Roman" w:ascii="Times New Roman" w:hAnsi="Times New Roman"/>
                <w:sz w:val="24"/>
                <w:szCs w:val="24"/>
              </w:rPr>
              <w:t>Оценка имущества произведена в соответствии с Федеральным законом от 29.07.1998г. № 135-ФЗ «Об оценочной деятельности в Российской Федерации» (отчет об оценке от 07.04.2021г.)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Минимальная цена продажи («цена отсечения») </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 xml:space="preserve">Цена отсечения 50% начальной цены продажи, составляет </w:t>
            </w:r>
            <w:r>
              <w:rPr>
                <w:rFonts w:eastAsia="Calibri" w:cs="Times New Roman" w:ascii="Times New Roman" w:hAnsi="Times New Roman" w:eastAsiaTheme="minorHAnsi"/>
                <w:b/>
                <w:bCs/>
                <w:color w:val="auto"/>
                <w:kern w:val="0"/>
                <w:sz w:val="24"/>
                <w:szCs w:val="24"/>
                <w:lang w:val="ru-RU" w:eastAsia="en-US" w:bidi="ar-SA"/>
              </w:rPr>
              <w:t>7 675</w:t>
            </w:r>
            <w:r>
              <w:rPr>
                <w:rFonts w:cs="Times New Roman" w:ascii="Times New Roman" w:hAnsi="Times New Roman"/>
                <w:b/>
                <w:bCs/>
                <w:sz w:val="24"/>
                <w:szCs w:val="24"/>
              </w:rPr>
              <w:t xml:space="preserve"> рублей </w:t>
            </w:r>
            <w:r>
              <w:rPr>
                <w:rFonts w:eastAsia="Calibri" w:cs="Times New Roman" w:ascii="Times New Roman" w:hAnsi="Times New Roman" w:eastAsiaTheme="minorHAnsi"/>
                <w:b/>
                <w:bCs/>
                <w:color w:val="auto"/>
                <w:kern w:val="0"/>
                <w:sz w:val="24"/>
                <w:szCs w:val="24"/>
                <w:lang w:val="ru-RU" w:eastAsia="en-US" w:bidi="ar-SA"/>
              </w:rPr>
              <w:t xml:space="preserve"> </w:t>
            </w:r>
            <w:r>
              <w:rPr>
                <w:rFonts w:eastAsia="Calibri" w:cs="Times New Roman" w:ascii="Times New Roman" w:hAnsi="Times New Roman" w:eastAsiaTheme="minorHAnsi"/>
                <w:b/>
                <w:bCs/>
                <w:color w:val="auto"/>
                <w:kern w:val="0"/>
                <w:sz w:val="24"/>
                <w:szCs w:val="24"/>
                <w:lang w:val="ru-RU" w:eastAsia="en-US" w:bidi="ar-SA"/>
              </w:rPr>
              <w:t xml:space="preserve">73 </w:t>
            </w:r>
            <w:r>
              <w:rPr>
                <w:rFonts w:cs="Times New Roman" w:ascii="Times New Roman" w:hAnsi="Times New Roman"/>
                <w:b/>
                <w:bCs/>
                <w:sz w:val="24"/>
                <w:szCs w:val="24"/>
              </w:rPr>
              <w:t>копе</w:t>
            </w:r>
            <w:r>
              <w:rPr>
                <w:rFonts w:cs="Times New Roman" w:ascii="Times New Roman" w:hAnsi="Times New Roman"/>
                <w:b/>
                <w:bCs/>
                <w:sz w:val="24"/>
                <w:szCs w:val="24"/>
              </w:rPr>
              <w:t>й</w:t>
            </w:r>
            <w:r>
              <w:rPr>
                <w:rFonts w:cs="Times New Roman" w:ascii="Times New Roman" w:hAnsi="Times New Roman"/>
                <w:b/>
                <w:bCs/>
                <w:sz w:val="24"/>
                <w:szCs w:val="24"/>
              </w:rPr>
              <w:t>к</w:t>
            </w:r>
            <w:r>
              <w:rPr>
                <w:rFonts w:cs="Times New Roman" w:ascii="Times New Roman" w:hAnsi="Times New Roman"/>
                <w:b/>
                <w:bCs/>
                <w:sz w:val="24"/>
                <w:szCs w:val="24"/>
              </w:rPr>
              <w:t>и</w:t>
            </w:r>
            <w:r>
              <w:rPr>
                <w:rFonts w:cs="Times New Roman" w:ascii="Times New Roman" w:hAnsi="Times New Roman"/>
                <w:b/>
                <w:bCs/>
                <w:sz w:val="24"/>
                <w:szCs w:val="24"/>
              </w:rPr>
              <w:t>.</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снижения начальной цены («шаг понижения»)</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Фиксированная сумма.</w:t>
            </w:r>
          </w:p>
          <w:p>
            <w:pPr>
              <w:pStyle w:val="Normal"/>
              <w:spacing w:lineRule="auto" w:line="240" w:before="0" w:after="0"/>
              <w:ind w:firstLine="318"/>
              <w:jc w:val="both"/>
              <w:rPr/>
            </w:pPr>
            <w:r>
              <w:rPr>
                <w:rFonts w:eastAsia="Calibri" w:cs="Times New Roman" w:ascii="Times New Roman" w:hAnsi="Times New Roman" w:eastAsiaTheme="minorHAnsi"/>
                <w:b/>
                <w:color w:val="auto"/>
                <w:kern w:val="0"/>
                <w:sz w:val="24"/>
                <w:szCs w:val="24"/>
                <w:lang w:val="ru-RU" w:eastAsia="en-US" w:bidi="ar-SA"/>
              </w:rPr>
              <w:t>1 5</w:t>
            </w:r>
            <w:r>
              <w:rPr>
                <w:rFonts w:cs="Times New Roman" w:ascii="Times New Roman" w:hAnsi="Times New Roman"/>
                <w:b/>
                <w:sz w:val="24"/>
                <w:szCs w:val="24"/>
              </w:rPr>
              <w:t xml:space="preserve">00 рублей 00 копеек. </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Не изменяется в течение продажи.</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повышения начальной цены продажи («шаг аукциона»)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Фиксированная сумма.</w:t>
            </w:r>
          </w:p>
          <w:p>
            <w:pPr>
              <w:pStyle w:val="Normal"/>
              <w:spacing w:lineRule="auto" w:line="240" w:before="0" w:after="0"/>
              <w:ind w:firstLine="318"/>
              <w:jc w:val="both"/>
              <w:rPr/>
            </w:pPr>
            <w:r>
              <w:rPr>
                <w:rFonts w:eastAsia="Calibri" w:cs="Times New Roman" w:ascii="Times New Roman" w:hAnsi="Times New Roman" w:eastAsiaTheme="minorHAnsi"/>
                <w:b/>
                <w:color w:val="auto"/>
                <w:kern w:val="0"/>
                <w:sz w:val="24"/>
                <w:szCs w:val="24"/>
                <w:lang w:val="ru-RU" w:eastAsia="en-US" w:bidi="ar-SA"/>
              </w:rPr>
              <w:t>75</w:t>
            </w:r>
            <w:r>
              <w:rPr>
                <w:rFonts w:cs="Times New Roman" w:ascii="Times New Roman" w:hAnsi="Times New Roman"/>
                <w:b/>
                <w:sz w:val="24"/>
                <w:szCs w:val="24"/>
              </w:rPr>
              <w:t xml:space="preserve">0 рублей 00 копеек. </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Условия и сроки платежа, реквизиты для перечисления оплаты указаны в проекте договора купли-продажи (Приложение № 2).</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задатка, срок и порядок его внесения, необходимые реквизиты счетов</w:t>
            </w:r>
          </w:p>
        </w:tc>
        <w:tc>
          <w:tcPr>
            <w:tcW w:w="5386" w:type="dxa"/>
            <w:tcBorders/>
            <w:shd w:color="auto" w:fill="auto" w:val="clear"/>
          </w:tcPr>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Размер задатка 20% начальной цены продажи, </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составляет </w:t>
            </w:r>
            <w:r>
              <w:rPr>
                <w:rFonts w:eastAsia="Calibri" w:cs="Times New Roman" w:ascii="Times New Roman" w:hAnsi="Times New Roman" w:eastAsiaTheme="minorHAnsi"/>
                <w:b/>
                <w:color w:val="auto"/>
                <w:kern w:val="0"/>
                <w:sz w:val="24"/>
                <w:szCs w:val="24"/>
                <w:highlight w:val="white"/>
                <w:lang w:val="ru-RU" w:eastAsia="en-US" w:bidi="ar-SA"/>
              </w:rPr>
              <w:t xml:space="preserve">3 070 </w:t>
            </w:r>
            <w:r>
              <w:rPr>
                <w:rFonts w:cs="Times New Roman" w:ascii="Times New Roman" w:hAnsi="Times New Roman"/>
                <w:b/>
                <w:sz w:val="24"/>
                <w:szCs w:val="24"/>
                <w:highlight w:val="white"/>
              </w:rPr>
              <w:t xml:space="preserve"> рублей </w:t>
            </w:r>
            <w:r>
              <w:rPr>
                <w:rFonts w:eastAsia="Calibri" w:cs="Times New Roman" w:ascii="Times New Roman" w:hAnsi="Times New Roman" w:eastAsiaTheme="minorHAnsi"/>
                <w:b/>
                <w:color w:val="auto"/>
                <w:kern w:val="0"/>
                <w:sz w:val="24"/>
                <w:szCs w:val="24"/>
                <w:highlight w:val="white"/>
                <w:lang w:val="ru-RU" w:eastAsia="en-US" w:bidi="ar-SA"/>
              </w:rPr>
              <w:t>29</w:t>
            </w:r>
            <w:r>
              <w:rPr>
                <w:rFonts w:cs="Times New Roman" w:ascii="Times New Roman" w:hAnsi="Times New Roman"/>
                <w:b/>
                <w:sz w:val="24"/>
                <w:szCs w:val="24"/>
                <w:highlight w:val="white"/>
              </w:rPr>
              <w:t xml:space="preserve"> копеек.</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 xml:space="preserve">Внесенный победителем продажи задаток засчитывается в счет оплаты приобретаемого имущества. </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Срок внесения задатка: не позднее дня окончания приема заявок на участие в продаже.</w:t>
            </w:r>
          </w:p>
          <w:p>
            <w:pPr>
              <w:pStyle w:val="Normal"/>
              <w:spacing w:lineRule="auto" w:line="240" w:before="0" w:after="0"/>
              <w:ind w:firstLine="318"/>
              <w:jc w:val="both"/>
              <w:rPr>
                <w:highlight w:val="white"/>
              </w:rPr>
            </w:pPr>
            <w:r>
              <w:rPr>
                <w:rFonts w:cs="Times New Roman" w:ascii="Times New Roman" w:hAnsi="Times New Roman"/>
                <w:sz w:val="24"/>
                <w:szCs w:val="24"/>
                <w:highlight w:val="white"/>
              </w:rPr>
              <w:t>Реквизиты для перечисления задатка:</w:t>
            </w:r>
          </w:p>
          <w:p>
            <w:pPr>
              <w:pStyle w:val="Normal"/>
              <w:spacing w:lineRule="auto" w:line="240" w:before="0" w:after="0"/>
              <w:ind w:firstLine="318"/>
              <w:jc w:val="both"/>
              <w:rPr>
                <w:highlight w:val="white"/>
              </w:rPr>
            </w:pPr>
            <w:r>
              <w:rPr>
                <w:rStyle w:val="FontStyle13"/>
                <w:b w:val="false"/>
                <w:i/>
                <w:sz w:val="24"/>
                <w:szCs w:val="24"/>
                <w:highlight w:val="white"/>
              </w:rPr>
              <w:t>ИНН 5262347425, КПП 526201001, УФК по Нижегородской области (ФКУ «ПривЦМТО Росгвардии», лицевой счет 05321</w:t>
            </w:r>
            <w:r>
              <w:rPr>
                <w:rStyle w:val="FontStyle13"/>
                <w:b w:val="false"/>
                <w:i/>
                <w:sz w:val="24"/>
                <w:szCs w:val="24"/>
                <w:highlight w:val="white"/>
                <w:lang w:val="en-US"/>
              </w:rPr>
              <w:t>F</w:t>
            </w:r>
            <w:r>
              <w:rPr>
                <w:rStyle w:val="FontStyle13"/>
                <w:b w:val="false"/>
                <w:i/>
                <w:sz w:val="24"/>
                <w:szCs w:val="24"/>
                <w:highlight w:val="white"/>
              </w:rPr>
              <w:t xml:space="preserve">91110), </w:t>
            </w:r>
            <w:r>
              <w:rPr>
                <w:rStyle w:val="FontStyle13"/>
                <w:b w:val="false"/>
                <w:i/>
                <w:color w:val="000000" w:themeColor="text1"/>
                <w:sz w:val="24"/>
                <w:szCs w:val="24"/>
                <w:highlight w:val="white"/>
              </w:rPr>
              <w:t>Казначейский счет (счет плательщика)  № 03212643000000013200 ВОЛГО-ВЯТСКО</w:t>
            </w:r>
            <w:r>
              <w:rPr>
                <w:rStyle w:val="FontStyle13"/>
                <w:rFonts w:eastAsia="Times New Roman"/>
                <w:b w:val="false"/>
                <w:i/>
                <w:color w:val="000000" w:themeColor="text1"/>
                <w:sz w:val="24"/>
                <w:szCs w:val="24"/>
                <w:highlight w:val="white"/>
                <w:lang w:eastAsia="ru-RU"/>
              </w:rPr>
              <w:t>Е</w:t>
            </w:r>
            <w:r>
              <w:rPr>
                <w:rStyle w:val="FontStyle13"/>
                <w:b w:val="false"/>
                <w:i/>
                <w:color w:val="000000" w:themeColor="text1"/>
                <w:sz w:val="24"/>
                <w:szCs w:val="24"/>
                <w:highlight w:val="white"/>
              </w:rPr>
              <w:t xml:space="preserve"> ГУ БАНКА РОССИИ//УФК по Нижегородской области г. Нижний Новгород,</w:t>
            </w:r>
            <w:r>
              <w:rPr>
                <w:rStyle w:val="FontStyle13"/>
                <w:b w:val="false"/>
                <w:i/>
                <w:sz w:val="24"/>
                <w:szCs w:val="24"/>
                <w:highlight w:val="white"/>
              </w:rPr>
              <w:t xml:space="preserve"> </w:t>
            </w:r>
            <w:r>
              <w:rPr>
                <w:rStyle w:val="FontStyle13"/>
                <w:b w:val="false"/>
                <w:i/>
                <w:color w:val="000000" w:themeColor="text1"/>
                <w:sz w:val="24"/>
                <w:szCs w:val="24"/>
                <w:highlight w:val="white"/>
              </w:rPr>
              <w:t>Единый казначейский счет (корреспондентский счет) № 40102810745370000024,</w:t>
            </w:r>
            <w:r>
              <w:rPr>
                <w:rStyle w:val="FontStyle13"/>
                <w:b w:val="false"/>
                <w:i/>
                <w:sz w:val="24"/>
                <w:szCs w:val="24"/>
                <w:highlight w:val="white"/>
              </w:rPr>
              <w:t xml:space="preserve">  БИК 012202102</w:t>
            </w:r>
            <w:r>
              <w:rPr>
                <w:rFonts w:cs="Times New Roman" w:ascii="Times New Roman" w:hAnsi="Times New Roman"/>
                <w:i/>
                <w:sz w:val="24"/>
                <w:szCs w:val="24"/>
                <w:highlight w:val="white"/>
              </w:rPr>
              <w:t xml:space="preserve"> Назначение платежа: Задаток для участия в торгах. Извещение №__________ (лот №__________)</w:t>
            </w:r>
          </w:p>
        </w:tc>
      </w:tr>
      <w:tr>
        <w:trPr>
          <w:trHeight w:val="3280" w:hRule="atLeast"/>
        </w:trPr>
        <w:tc>
          <w:tcPr>
            <w:tcW w:w="538" w:type="dxa"/>
            <w:tcBorders/>
            <w:shd w:color="auto" w:fill="auto" w:val="clear"/>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7</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место, даты начала и окончания подачи заявок на участие в продаже, дата определения участников продажи</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10 ч 00 мин 08.11.2021 г. (время московское).</w:t>
            </w:r>
          </w:p>
          <w:p>
            <w:pPr>
              <w:pStyle w:val="Normal"/>
              <w:spacing w:lineRule="auto" w:line="240" w:before="0" w:after="0"/>
              <w:ind w:firstLine="318"/>
              <w:jc w:val="both"/>
              <w:rPr/>
            </w:pPr>
            <w:r>
              <w:rPr>
                <w:rFonts w:cs="Times New Roman" w:ascii="Times New Roman" w:hAnsi="Times New Roman"/>
                <w:sz w:val="24"/>
                <w:szCs w:val="24"/>
              </w:rPr>
              <w:t xml:space="preserve">Дата окончания подачи заявок: </w:t>
            </w:r>
            <w:r>
              <w:rPr>
                <w:rFonts w:cs="Times New Roman" w:ascii="Times New Roman" w:hAnsi="Times New Roman"/>
                <w:b/>
                <w:sz w:val="24"/>
                <w:szCs w:val="24"/>
              </w:rPr>
              <w:t>10 ч 00 мин 06.12.2021 г. (время московское).</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shd w:fill="FFFFFF" w:val="clear"/>
              </w:rPr>
              <w:t>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w:t>
            </w:r>
            <w:r>
              <w:rPr>
                <w:rStyle w:val="Appleconvertedspace"/>
                <w:rFonts w:cs="Times New Roman" w:ascii="Times New Roman" w:hAnsi="Times New Roman"/>
                <w:sz w:val="24"/>
                <w:szCs w:val="24"/>
                <w:shd w:fill="FFFFFF" w:val="clear"/>
              </w:rPr>
              <w:t> </w:t>
            </w:r>
            <w:r>
              <w:rPr>
                <w:rFonts w:cs="Times New Roman" w:ascii="Times New Roman" w:hAnsi="Times New Roman"/>
                <w:sz w:val="24"/>
                <w:szCs w:val="24"/>
                <w:shd w:fill="FFFFFF" w:val="clear"/>
              </w:rPr>
              <w:t>заявки</w:t>
            </w:r>
            <w:r>
              <w:rPr>
                <w:rStyle w:val="Appleconvertedspace"/>
                <w:rFonts w:cs="Times New Roman" w:ascii="Times New Roman" w:hAnsi="Times New Roman"/>
                <w:sz w:val="24"/>
                <w:szCs w:val="24"/>
                <w:shd w:fill="FFFFFF" w:val="clear"/>
              </w:rPr>
              <w:t> </w:t>
            </w:r>
            <w:r>
              <w:rPr>
                <w:rFonts w:cs="Times New Roman" w:ascii="Times New Roman" w:hAnsi="Times New Roman"/>
                <w:sz w:val="24"/>
                <w:szCs w:val="24"/>
                <w:shd w:fill="FFFFFF" w:val="clear"/>
              </w:rPr>
              <w:t>с приложением электронных документов в соответствии с перечнем, приведенным в информационном сообщении о проведении продажи</w:t>
            </w:r>
            <w:r>
              <w:rPr/>
              <w:t xml:space="preserve"> </w:t>
            </w:r>
            <w:r>
              <w:rPr>
                <w:rFonts w:cs="Times New Roman" w:ascii="Times New Roman" w:hAnsi="Times New Roman"/>
                <w:sz w:val="24"/>
                <w:szCs w:val="24"/>
                <w:shd w:fill="FFFFFF" w:val="clear"/>
              </w:rPr>
              <w:t>имущества посредством публичного предложения.</w:t>
            </w:r>
            <w:r>
              <w:rPr>
                <w:rFonts w:cs="Times New Roman" w:ascii="Times New Roman" w:hAnsi="Times New Roman"/>
                <w:sz w:val="24"/>
                <w:szCs w:val="24"/>
              </w:rPr>
              <w:t xml:space="preserve"> Претендент вправе подать только одну заявку.</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Порядок регистрации на ЭТП и правила проведения продажи – в соответствии с порядком установленным постановлением Правительства РФ от 27 августа 2012 г. № 860.</w:t>
            </w:r>
          </w:p>
          <w:p>
            <w:pPr>
              <w:pStyle w:val="Normal"/>
              <w:spacing w:lineRule="auto" w:line="240" w:before="0" w:after="0"/>
              <w:ind w:firstLine="318"/>
              <w:jc w:val="both"/>
              <w:rPr/>
            </w:pPr>
            <w:r>
              <w:rPr>
                <w:rFonts w:cs="Times New Roman" w:ascii="Times New Roman" w:hAnsi="Times New Roman"/>
                <w:b/>
                <w:sz w:val="24"/>
                <w:szCs w:val="24"/>
              </w:rPr>
              <w:t>Дата определения участников продажи: 09.12.2021 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8</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6" w:type="dxa"/>
            <w:tcBorders/>
            <w:shd w:color="auto" w:fill="auto" w:val="clear"/>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Для юридических и физических лиц – платёжный документ с отметкой банка о перечислении задатка продавцу для обеспечения  участия в продаже.</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9</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Основания для отказа претенденту участвовать </w:t>
            </w:r>
          </w:p>
        </w:tc>
        <w:tc>
          <w:tcPr>
            <w:tcW w:w="5386" w:type="dxa"/>
            <w:tcBorders/>
            <w:shd w:color="auto" w:fill="auto" w:val="clear"/>
          </w:tcPr>
          <w:p>
            <w:pPr>
              <w:pStyle w:val="ListParagraph"/>
              <w:spacing w:lineRule="auto" w:line="240" w:before="0" w:after="0"/>
              <w:ind w:left="34" w:firstLine="318"/>
              <w:contextualSpacing/>
              <w:jc w:val="both"/>
              <w:rPr>
                <w:rFonts w:ascii="Times New Roman" w:hAnsi="Times New Roman" w:cs="Times New Roman"/>
                <w:sz w:val="24"/>
                <w:szCs w:val="24"/>
              </w:rPr>
            </w:pPr>
            <w:r>
              <w:rPr>
                <w:rFonts w:cs="Times New Roman" w:ascii="Times New Roman" w:hAnsi="Times New Roman"/>
                <w:sz w:val="24"/>
                <w:szCs w:val="24"/>
              </w:rPr>
              <w:t>В соответствии с п.8 ст.18 Федерального закона от 21.12.2001г. № 178-ФЗ «О приватизации государственного и муниципального имущества».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продажи.</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продажи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продажи государственного имущества. Подведение итогов продажи.</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продажи: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Время и дата проведения продажи:</w:t>
            </w:r>
          </w:p>
          <w:p>
            <w:pPr>
              <w:pStyle w:val="Normal"/>
              <w:spacing w:lineRule="auto" w:line="240" w:before="0" w:after="0"/>
              <w:ind w:firstLine="318"/>
              <w:jc w:val="both"/>
              <w:rPr/>
            </w:pPr>
            <w:r>
              <w:rPr>
                <w:rFonts w:cs="Times New Roman" w:ascii="Times New Roman" w:hAnsi="Times New Roman"/>
                <w:b/>
                <w:sz w:val="24"/>
                <w:szCs w:val="24"/>
              </w:rPr>
              <w:t>10 ч 00 мин 10.12.2021г.</w:t>
            </w:r>
            <w:r>
              <w:rPr>
                <w:b/>
              </w:rPr>
              <w:t xml:space="preserve"> </w:t>
            </w:r>
            <w:r>
              <w:rPr>
                <w:rFonts w:cs="Times New Roman" w:ascii="Times New Roman" w:hAnsi="Times New Roman"/>
                <w:b/>
                <w:sz w:val="24"/>
                <w:szCs w:val="24"/>
              </w:rPr>
              <w:t>(время московское).</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Подведение итогов продажи</w:t>
            </w:r>
          </w:p>
          <w:p>
            <w:pPr>
              <w:pStyle w:val="Normal"/>
              <w:spacing w:lineRule="auto" w:line="240" w:before="0" w:after="0"/>
              <w:ind w:firstLine="318"/>
              <w:jc w:val="both"/>
              <w:rPr/>
            </w:pPr>
            <w:r>
              <w:rPr>
                <w:rFonts w:cs="Times New Roman" w:ascii="Times New Roman" w:hAnsi="Times New Roman"/>
                <w:b/>
                <w:sz w:val="24"/>
                <w:szCs w:val="24"/>
              </w:rPr>
              <w:t>10.12.2021 г.</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6" w:type="dxa"/>
            <w:tcBorders/>
            <w:shd w:color="auto" w:fill="auto" w:val="clear"/>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shd w:color="auto" w:fill="auto" w:val="clear"/>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16</w:t>
            </w:r>
          </w:p>
        </w:tc>
        <w:tc>
          <w:tcPr>
            <w:tcW w:w="3858" w:type="dxa"/>
            <w:tcBorders/>
            <w:shd w:color="auto" w:fill="auto" w:val="clear"/>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6" w:type="dxa"/>
            <w:tcBorders/>
            <w:shd w:color="auto" w:fill="auto" w:val="clear"/>
          </w:tcPr>
          <w:p>
            <w:pPr>
              <w:pStyle w:val="Normal"/>
              <w:spacing w:lineRule="auto" w:line="240" w:before="0" w:after="0"/>
              <w:ind w:firstLine="318"/>
              <w:jc w:val="both"/>
              <w:rPr/>
            </w:pPr>
            <w:r>
              <w:rPr>
                <w:rFonts w:cs="Times New Roman" w:ascii="Times New Roman" w:hAnsi="Times New Roman"/>
                <w:sz w:val="24"/>
                <w:szCs w:val="24"/>
              </w:rPr>
              <w:t>Указанное в Приложении №1 имущество выставлялось на</w:t>
            </w:r>
            <w:r>
              <w:rPr>
                <w:rFonts w:cs="Times New Roman" w:ascii="Times New Roman" w:hAnsi="Times New Roman"/>
                <w:color w:val="000000"/>
                <w:sz w:val="24"/>
                <w:szCs w:val="24"/>
              </w:rPr>
              <w:t xml:space="preserve"> продажу путем проведения аукциона. Аукцион (изв. № </w:t>
            </w:r>
            <w:r>
              <w:rPr>
                <w:rFonts w:eastAsia="Calibri" w:cs="Times New Roman" w:ascii="Times New Roman" w:hAnsi="Times New Roman"/>
                <w:color w:val="000000"/>
                <w:sz w:val="24"/>
                <w:szCs w:val="24"/>
              </w:rPr>
              <w:t>140921/30312911/0</w:t>
            </w:r>
            <w:r>
              <w:rPr>
                <w:rFonts w:eastAsia="Calibri" w:cs="Times New Roman" w:ascii="Times New Roman" w:hAnsi="Times New Roman"/>
                <w:color w:val="000000"/>
                <w:sz w:val="24"/>
                <w:szCs w:val="24"/>
              </w:rPr>
              <w:t>4</w:t>
            </w:r>
            <w:r>
              <w:rPr>
                <w:rFonts w:cs="Times New Roman" w:ascii="Times New Roman" w:hAnsi="Times New Roman"/>
                <w:color w:val="000000"/>
                <w:sz w:val="24"/>
                <w:szCs w:val="24"/>
              </w:rPr>
              <w:t>, № ГП</w:t>
            </w:r>
            <w:r>
              <w:rPr>
                <w:rFonts w:eastAsia="Calibri" w:cs="Times New Roman" w:ascii="Times New Roman" w:hAnsi="Times New Roman"/>
                <w:color w:val="000000"/>
                <w:sz w:val="24"/>
                <w:szCs w:val="24"/>
              </w:rPr>
              <w:t>1336</w:t>
            </w:r>
            <w:r>
              <w:rPr>
                <w:rFonts w:eastAsia="Calibri" w:cs="Times New Roman" w:ascii="Times New Roman" w:hAnsi="Times New Roman"/>
                <w:color w:val="000000"/>
                <w:kern w:val="0"/>
                <w:sz w:val="24"/>
                <w:szCs w:val="24"/>
                <w:lang w:val="ru-RU" w:eastAsia="en-US" w:bidi="ar-SA"/>
              </w:rPr>
              <w:t>1</w:t>
            </w:r>
            <w:r>
              <w:rPr>
                <w:rFonts w:eastAsia="Calibri" w:cs="Times New Roman" w:ascii="Times New Roman" w:hAnsi="Times New Roman"/>
                <w:color w:val="000000"/>
                <w:kern w:val="0"/>
                <w:sz w:val="24"/>
                <w:szCs w:val="24"/>
                <w:lang w:val="ru-RU" w:eastAsia="en-US" w:bidi="ar-SA"/>
              </w:rPr>
              <w:t>2</w:t>
            </w:r>
            <w:r>
              <w:rPr>
                <w:rFonts w:cs="Times New Roman" w:ascii="Times New Roman" w:hAnsi="Times New Roman"/>
                <w:color w:val="000000"/>
                <w:sz w:val="24"/>
                <w:szCs w:val="24"/>
              </w:rPr>
              <w:t xml:space="preserve">) признан несостоявшимся. </w:t>
            </w:r>
            <w:bookmarkStart w:id="0" w:name="_GoBack"/>
            <w:bookmarkEnd w:id="0"/>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продаже (рекомендуемая форма).</w:t>
      </w:r>
    </w:p>
    <w:p>
      <w:pPr>
        <w:pStyle w:val="ListParagraph"/>
        <w:spacing w:lineRule="auto" w:line="240" w:before="0" w:after="0"/>
        <w:ind w:left="643" w:hanging="0"/>
        <w:contextualSpacing/>
        <w:jc w:val="both"/>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348469521"/>
    </w:sdtPr>
    <w:sdtContent>
      <w:p>
        <w:pPr>
          <w:pStyle w:val="Style23"/>
          <w:jc w:val="right"/>
          <w:rPr/>
        </w:pPr>
        <w:r>
          <w:rPr/>
          <w:fldChar w:fldCharType="begin"/>
        </w:r>
        <w:r>
          <w:rPr/>
          <w:instrText> PAGE </w:instrText>
        </w:r>
        <w:r>
          <w:rPr/>
          <w:fldChar w:fldCharType="separate"/>
        </w:r>
        <w:r>
          <w:rPr/>
          <w:t>0</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b6f57"/>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442f67"/>
    <w:rPr/>
  </w:style>
  <w:style w:type="character" w:styleId="Style15" w:customStyle="1">
    <w:name w:val="Нижний колонтитул Знак"/>
    <w:basedOn w:val="DefaultParagraphFont"/>
    <w:uiPriority w:val="99"/>
    <w:qFormat/>
    <w:rsid w:val="00442f67"/>
    <w:rPr/>
  </w:style>
  <w:style w:type="character" w:styleId="Style16" w:customStyle="1">
    <w:name w:val="Текст выноски Знак"/>
    <w:basedOn w:val="DefaultParagraphFont"/>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character" w:styleId="FontStyle13" w:customStyle="1">
    <w:name w:val="Font Style13"/>
    <w:basedOn w:val="DefaultParagraphFont"/>
    <w:qFormat/>
    <w:rPr>
      <w:rFonts w:ascii="Times New Roman" w:hAnsi="Times New Roman" w:cs="Times New Roman"/>
      <w:b/>
      <w:bCs/>
      <w:sz w:val="22"/>
      <w:szCs w:val="22"/>
    </w:rPr>
  </w:style>
  <w:style w:type="paragraph" w:styleId="Style17" w:customStyle="1">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Caption">
    <w:name w:val="caption"/>
    <w:basedOn w:val="Normal"/>
    <w:qFormat/>
    <w:pPr>
      <w:suppressLineNumbers/>
      <w:spacing w:before="120" w:after="120"/>
    </w:pPr>
    <w:rPr>
      <w:rFonts w:ascii="PT Astra Serif" w:hAnsi="PT Astra Serif" w:cs="Noto Sans Devanagari"/>
      <w:i/>
      <w:iCs/>
      <w:sz w:val="24"/>
      <w:szCs w:val="24"/>
    </w:rPr>
  </w:style>
  <w:style w:type="paragraph" w:styleId="Indexheading">
    <w:name w:val="index heading"/>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before="0" w:after="0"/>
      <w:jc w:val="left"/>
    </w:pPr>
    <w:rPr>
      <w:rFonts w:ascii="Arial" w:hAnsi="Arial" w:eastAsia="" w:cs="Arial" w:eastAsiaTheme="minorEastAsia"/>
      <w:color w:val="auto"/>
      <w:kern w:val="0"/>
      <w:sz w:val="22"/>
      <w:szCs w:val="20"/>
      <w:lang w:val="ru-RU" w:eastAsia="ru-RU" w:bidi="ar-SA"/>
    </w:rPr>
  </w:style>
  <w:style w:type="paragraph" w:styleId="Style22" w:customStyle="1">
    <w:name w:val="Верхний и нижний колонтитулы"/>
    <w:basedOn w:val="Normal"/>
    <w:qFormat/>
    <w:pPr/>
    <w:rPr/>
  </w:style>
  <w:style w:type="paragraph" w:styleId="Style23">
    <w:name w:val="Head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0">
    <w:name w:val="Table Grid"/>
    <w:basedOn w:val="a1"/>
    <w:uiPriority w:val="59"/>
    <w:rsid w:val="009f7d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3138E-C525-4F01-8DD6-A85FA22B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Application>LibreOffice/6.4.4.2$Linux_X86_64 LibreOffice_project/40$Build-2</Application>
  <Pages>4</Pages>
  <Words>985</Words>
  <Characters>6774</Characters>
  <CharactersWithSpaces>7678</CharactersWithSpaces>
  <Paragraphs>97</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2021-06-16T09:00:00Z</cp:lastPrinted>
  <dcterms:modified xsi:type="dcterms:W3CDTF">2021-10-25T11:50:09Z</dcterms:modified>
  <cp:revision>69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